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CC" w:rsidRDefault="005D28CC">
      <w:r>
        <w:rPr>
          <w:noProof/>
          <w:lang w:eastAsia="nl-NL"/>
        </w:rPr>
        <w:drawing>
          <wp:inline distT="0" distB="0" distL="0" distR="0" wp14:anchorId="0A3FEBA0" wp14:editId="513F0555">
            <wp:extent cx="2511832" cy="924538"/>
            <wp:effectExtent l="0" t="0" r="317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vW logo.jpg"/>
                    <pic:cNvPicPr/>
                  </pic:nvPicPr>
                  <pic:blipFill rotWithShape="1">
                    <a:blip r:embed="rId5">
                      <a:extLst>
                        <a:ext uri="{28A0092B-C50C-407E-A947-70E740481C1C}">
                          <a14:useLocalDpi xmlns:a14="http://schemas.microsoft.com/office/drawing/2010/main" val="0"/>
                        </a:ext>
                      </a:extLst>
                    </a:blip>
                    <a:srcRect l="5208"/>
                    <a:stretch/>
                  </pic:blipFill>
                  <pic:spPr bwMode="auto">
                    <a:xfrm>
                      <a:off x="0" y="0"/>
                      <a:ext cx="2519282" cy="927280"/>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nl-NL"/>
        </w:rPr>
        <w:drawing>
          <wp:anchor distT="0" distB="0" distL="114300" distR="114300" simplePos="0" relativeHeight="251661312" behindDoc="1" locked="0" layoutInCell="1" allowOverlap="1" wp14:anchorId="5CA09A92" wp14:editId="1856C95B">
            <wp:simplePos x="0" y="0"/>
            <wp:positionH relativeFrom="column">
              <wp:posOffset>3283190</wp:posOffset>
            </wp:positionH>
            <wp:positionV relativeFrom="paragraph">
              <wp:posOffset>-295275</wp:posOffset>
            </wp:positionV>
            <wp:extent cx="2994495" cy="1192695"/>
            <wp:effectExtent l="19050" t="0" r="0" b="0"/>
            <wp:wrapNone/>
            <wp:docPr id="14" name="Afbeelding 11" descr="logo-nv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vwa.png"/>
                    <pic:cNvPicPr/>
                  </pic:nvPicPr>
                  <pic:blipFill>
                    <a:blip r:embed="rId6" cstate="print"/>
                    <a:stretch>
                      <a:fillRect/>
                    </a:stretch>
                  </pic:blipFill>
                  <pic:spPr>
                    <a:xfrm>
                      <a:off x="0" y="0"/>
                      <a:ext cx="2994495" cy="1192695"/>
                    </a:xfrm>
                    <a:prstGeom prst="rect">
                      <a:avLst/>
                    </a:prstGeom>
                  </pic:spPr>
                </pic:pic>
              </a:graphicData>
            </a:graphic>
          </wp:anchor>
        </w:drawing>
      </w:r>
    </w:p>
    <w:p w:rsidR="005D28CC" w:rsidRPr="005D28CC" w:rsidRDefault="001D1D7E" w:rsidP="00F1306B">
      <w:pPr>
        <w:spacing w:after="0" w:line="260" w:lineRule="atLeast"/>
        <w:rPr>
          <w:rFonts w:ascii="Open Sans" w:hAnsi="Open Sans" w:cs="Open Sans"/>
          <w:b/>
          <w:sz w:val="24"/>
          <w:szCs w:val="24"/>
        </w:rPr>
      </w:pPr>
      <w:r>
        <w:rPr>
          <w:rFonts w:ascii="Open Sans" w:hAnsi="Open Sans" w:cs="Open Sans"/>
          <w:b/>
          <w:sz w:val="24"/>
          <w:szCs w:val="24"/>
        </w:rPr>
        <w:t>Communicatie</w:t>
      </w:r>
      <w:r w:rsidR="005D28CC" w:rsidRPr="005D28CC">
        <w:rPr>
          <w:rFonts w:ascii="Open Sans" w:hAnsi="Open Sans" w:cs="Open Sans"/>
          <w:b/>
          <w:sz w:val="24"/>
          <w:szCs w:val="24"/>
        </w:rPr>
        <w:t>boodschap “Toezicht- e</w:t>
      </w:r>
      <w:r w:rsidR="00BB2C06">
        <w:rPr>
          <w:rFonts w:ascii="Open Sans" w:hAnsi="Open Sans" w:cs="Open Sans"/>
          <w:b/>
          <w:sz w:val="24"/>
          <w:szCs w:val="24"/>
        </w:rPr>
        <w:t xml:space="preserve">n </w:t>
      </w:r>
      <w:r w:rsidR="003A16B5">
        <w:rPr>
          <w:rFonts w:ascii="Open Sans" w:hAnsi="Open Sans" w:cs="Open Sans"/>
          <w:b/>
          <w:sz w:val="24"/>
          <w:szCs w:val="24"/>
        </w:rPr>
        <w:t>h</w:t>
      </w:r>
      <w:r w:rsidR="00BB2C06">
        <w:rPr>
          <w:rFonts w:ascii="Open Sans" w:hAnsi="Open Sans" w:cs="Open Sans"/>
          <w:b/>
          <w:sz w:val="24"/>
          <w:szCs w:val="24"/>
        </w:rPr>
        <w:t>andhavingsprotocol drukregis</w:t>
      </w:r>
      <w:r w:rsidR="005D28CC" w:rsidRPr="005D28CC">
        <w:rPr>
          <w:rFonts w:ascii="Open Sans" w:hAnsi="Open Sans" w:cs="Open Sans"/>
          <w:b/>
          <w:sz w:val="24"/>
          <w:szCs w:val="24"/>
        </w:rPr>
        <w:t>tratievoorziening spuitmachines”</w:t>
      </w:r>
    </w:p>
    <w:p w:rsidR="005D28CC" w:rsidRPr="00D54CAD" w:rsidRDefault="005D28CC" w:rsidP="00F1306B">
      <w:pPr>
        <w:spacing w:after="0" w:line="260" w:lineRule="atLeast"/>
        <w:rPr>
          <w:rFonts w:ascii="Open Sans" w:hAnsi="Open Sans" w:cs="Open Sans"/>
          <w:sz w:val="20"/>
          <w:szCs w:val="20"/>
        </w:rPr>
      </w:pPr>
    </w:p>
    <w:p w:rsidR="00F1306B" w:rsidRPr="00D54CAD" w:rsidRDefault="00F1306B" w:rsidP="00F1306B">
      <w:pPr>
        <w:spacing w:after="0" w:line="260" w:lineRule="atLeast"/>
        <w:rPr>
          <w:rFonts w:ascii="Open Sans" w:hAnsi="Open Sans" w:cs="Open Sans"/>
          <w:b/>
          <w:sz w:val="20"/>
          <w:szCs w:val="20"/>
        </w:rPr>
      </w:pPr>
      <w:r w:rsidRPr="00D54CAD">
        <w:rPr>
          <w:rFonts w:ascii="Open Sans" w:hAnsi="Open Sans" w:cs="Open Sans"/>
          <w:b/>
          <w:sz w:val="20"/>
          <w:szCs w:val="20"/>
        </w:rPr>
        <w:t>Het waarom van een drukregistratievoorziening</w:t>
      </w:r>
    </w:p>
    <w:p w:rsidR="00F1306B" w:rsidRPr="00D54CAD" w:rsidRDefault="00F1306B" w:rsidP="00D54CAD">
      <w:pPr>
        <w:pStyle w:val="Tekstopmerking"/>
        <w:spacing w:after="0" w:line="260" w:lineRule="atLeast"/>
        <w:rPr>
          <w:rFonts w:ascii="Open Sans" w:hAnsi="Open Sans" w:cs="Open Sans"/>
        </w:rPr>
      </w:pPr>
      <w:r w:rsidRPr="00D54CAD">
        <w:rPr>
          <w:rFonts w:ascii="Open Sans" w:hAnsi="Open Sans" w:cs="Open Sans"/>
        </w:rPr>
        <w:t xml:space="preserve">De drukregistratievoorziening is een verplichting die is opgenomen in het Activiteitenbesluit milieubeheer. </w:t>
      </w:r>
      <w:r w:rsidR="00D54CAD" w:rsidRPr="00D54CAD">
        <w:rPr>
          <w:rFonts w:ascii="Open Sans" w:hAnsi="Open Sans" w:cs="Open Sans"/>
        </w:rPr>
        <w:t xml:space="preserve">Dit houdt in dat een agrariër die met een spuitmachine in de open teelten gewasbeschermingsmiddelen toepast, met een drukregistratievoorziening de spuitdruk waarmee gespoten wordt moet meten en registreren. Dit geldt voor zowel neerwaarts te bespuiten gewassen als voor opwaarts en zijwaarts te bespuiten gewassen. Met de drukregistratievoorziening </w:t>
      </w:r>
      <w:r w:rsidRPr="00D54CAD">
        <w:rPr>
          <w:rFonts w:ascii="Open Sans" w:hAnsi="Open Sans" w:cs="Open Sans"/>
        </w:rPr>
        <w:t>kan de ondernemer aantonen dat hij zich houdt aan de maxima</w:t>
      </w:r>
      <w:r w:rsidR="00342140" w:rsidRPr="00D54CAD">
        <w:rPr>
          <w:rFonts w:ascii="Open Sans" w:hAnsi="Open Sans" w:cs="Open Sans"/>
        </w:rPr>
        <w:t>a</w:t>
      </w:r>
      <w:r w:rsidRPr="00D54CAD">
        <w:rPr>
          <w:rFonts w:ascii="Open Sans" w:hAnsi="Open Sans" w:cs="Open Sans"/>
        </w:rPr>
        <w:t>l</w:t>
      </w:r>
      <w:r w:rsidR="00342140" w:rsidRPr="00D54CAD">
        <w:rPr>
          <w:rFonts w:ascii="Open Sans" w:hAnsi="Open Sans" w:cs="Open Sans"/>
        </w:rPr>
        <w:t xml:space="preserve"> toegestane spu</w:t>
      </w:r>
      <w:r w:rsidRPr="00D54CAD">
        <w:rPr>
          <w:rFonts w:ascii="Open Sans" w:hAnsi="Open Sans" w:cs="Open Sans"/>
        </w:rPr>
        <w:t xml:space="preserve">itdruk en kan de toezichthouder dit </w:t>
      </w:r>
      <w:r w:rsidR="001D1D7E" w:rsidRPr="00D54CAD">
        <w:rPr>
          <w:rFonts w:ascii="Open Sans" w:hAnsi="Open Sans" w:cs="Open Sans"/>
        </w:rPr>
        <w:t xml:space="preserve">op het perceel </w:t>
      </w:r>
      <w:r w:rsidRPr="00D54CAD">
        <w:rPr>
          <w:rFonts w:ascii="Open Sans" w:hAnsi="Open Sans" w:cs="Open Sans"/>
        </w:rPr>
        <w:t>controleren.</w:t>
      </w:r>
    </w:p>
    <w:p w:rsidR="00D54CAD" w:rsidRPr="00D54CAD" w:rsidRDefault="00D54CAD" w:rsidP="00D54CAD">
      <w:pPr>
        <w:pStyle w:val="Tekstopmerking"/>
        <w:spacing w:after="0" w:line="260" w:lineRule="atLeast"/>
        <w:rPr>
          <w:rFonts w:ascii="Open Sans" w:hAnsi="Open Sans" w:cs="Open Sans"/>
        </w:rPr>
      </w:pPr>
    </w:p>
    <w:p w:rsidR="00501274" w:rsidRPr="00D54CAD" w:rsidRDefault="00501274" w:rsidP="00501274">
      <w:pPr>
        <w:spacing w:after="0" w:line="260" w:lineRule="atLeast"/>
        <w:rPr>
          <w:rFonts w:ascii="Open Sans" w:hAnsi="Open Sans" w:cs="Open Sans"/>
          <w:sz w:val="20"/>
          <w:szCs w:val="20"/>
        </w:rPr>
      </w:pPr>
      <w:r w:rsidRPr="00D54CAD">
        <w:rPr>
          <w:rFonts w:ascii="Open Sans" w:hAnsi="Open Sans" w:cs="Open Sans"/>
          <w:sz w:val="20"/>
          <w:szCs w:val="20"/>
        </w:rPr>
        <w:t xml:space="preserve">Het gebruik van de juiste spuitdruk is namelijk een belangrijke drift bepalende factor bij het spuiten van gewasbeschermingsmiddelen. Drift is het verwaaien van druppeltjes water met gewasbeschermingsmiddelen (spuitvloeistof) naar het oppervlaktewater. Hoe hoger de spuitdruk hoe fijner de spuitdruppels worden en hoe gevoeliger ze zijn voor verwaaiing. Wanneer deze spuitdruppeltjes in het oppervlaktewater terecht komen, kunnen ze tot waterkwaliteitsproblemen leiden. Om dit te voorkomen, is voor iedere spuitdop vastgelegd bij welke maximale spuitdruk gespoten mag worden. Informatie hierover is te vinden in de </w:t>
      </w:r>
      <w:proofErr w:type="spellStart"/>
      <w:r w:rsidRPr="00D54CAD">
        <w:rPr>
          <w:rFonts w:ascii="Open Sans" w:hAnsi="Open Sans" w:cs="Open Sans"/>
          <w:sz w:val="20"/>
          <w:szCs w:val="20"/>
        </w:rPr>
        <w:t>DriftReducerende</w:t>
      </w:r>
      <w:proofErr w:type="spellEnd"/>
      <w:r w:rsidRPr="00D54CAD">
        <w:rPr>
          <w:rFonts w:ascii="Open Sans" w:hAnsi="Open Sans" w:cs="Open Sans"/>
          <w:sz w:val="20"/>
          <w:szCs w:val="20"/>
        </w:rPr>
        <w:t xml:space="preserve"> Dop-klassen-lijst (DRD-lijst) op </w:t>
      </w:r>
      <w:hyperlink r:id="rId7" w:history="1">
        <w:r w:rsidRPr="00D54CAD">
          <w:rPr>
            <w:rStyle w:val="Hyperlink"/>
            <w:rFonts w:ascii="Open Sans" w:hAnsi="Open Sans" w:cs="Open Sans"/>
            <w:sz w:val="20"/>
            <w:szCs w:val="20"/>
          </w:rPr>
          <w:t>https://www.helpdeskwater.nl/onderwerpen/emissiebeheer/agrarisch/open-teelt/driftreducerende/</w:t>
        </w:r>
      </w:hyperlink>
      <w:r w:rsidRPr="00D54CAD">
        <w:rPr>
          <w:rFonts w:ascii="Open Sans" w:hAnsi="Open Sans" w:cs="Open Sans"/>
          <w:sz w:val="20"/>
          <w:szCs w:val="20"/>
        </w:rPr>
        <w:t xml:space="preserve">. </w:t>
      </w:r>
    </w:p>
    <w:p w:rsidR="00501274" w:rsidRPr="00D54CAD" w:rsidRDefault="00501274" w:rsidP="00F1306B">
      <w:pPr>
        <w:spacing w:after="0" w:line="260" w:lineRule="atLeast"/>
        <w:rPr>
          <w:rFonts w:ascii="Open Sans" w:hAnsi="Open Sans" w:cs="Open Sans"/>
          <w:sz w:val="20"/>
          <w:szCs w:val="20"/>
        </w:rPr>
      </w:pPr>
    </w:p>
    <w:p w:rsidR="00F1306B" w:rsidRPr="00D54CAD" w:rsidRDefault="00F1306B" w:rsidP="00F1306B">
      <w:pPr>
        <w:spacing w:after="0" w:line="260" w:lineRule="atLeast"/>
        <w:rPr>
          <w:rFonts w:ascii="Open Sans" w:hAnsi="Open Sans" w:cs="Open Sans"/>
          <w:b/>
          <w:sz w:val="20"/>
          <w:szCs w:val="20"/>
        </w:rPr>
      </w:pPr>
      <w:r w:rsidRPr="00D54CAD">
        <w:rPr>
          <w:rFonts w:ascii="Open Sans" w:hAnsi="Open Sans" w:cs="Open Sans"/>
          <w:b/>
          <w:sz w:val="20"/>
          <w:szCs w:val="20"/>
        </w:rPr>
        <w:t>Gemaakte afspraken over de drukregistratievoorziening</w:t>
      </w:r>
    </w:p>
    <w:p w:rsidR="00501274" w:rsidRPr="00D54CAD" w:rsidRDefault="00501274" w:rsidP="00501274">
      <w:pPr>
        <w:spacing w:after="0" w:line="260" w:lineRule="atLeast"/>
        <w:rPr>
          <w:rFonts w:ascii="Open Sans" w:hAnsi="Open Sans" w:cs="Open Sans"/>
          <w:sz w:val="20"/>
          <w:szCs w:val="20"/>
        </w:rPr>
      </w:pPr>
      <w:r w:rsidRPr="00D54CAD">
        <w:rPr>
          <w:rFonts w:ascii="Open Sans" w:hAnsi="Open Sans" w:cs="Open Sans"/>
          <w:sz w:val="20"/>
          <w:szCs w:val="20"/>
        </w:rPr>
        <w:t xml:space="preserve">In 2016, 2017 en 2018 hebben de betrokken overheden en partijen uit het landbouwbedrijfsleven intensief overleg met elkaar gevoerd over de drukregistratievoorziening en over mogelijke alternatieven om keuzemogelijkheden te hebben. </w:t>
      </w:r>
    </w:p>
    <w:p w:rsidR="00501274" w:rsidRPr="00D54CAD" w:rsidRDefault="00501274" w:rsidP="00F1306B">
      <w:pPr>
        <w:spacing w:after="0" w:line="260" w:lineRule="atLeast"/>
        <w:rPr>
          <w:rFonts w:ascii="Open Sans" w:hAnsi="Open Sans" w:cs="Open Sans"/>
          <w:sz w:val="20"/>
          <w:szCs w:val="20"/>
        </w:rPr>
      </w:pPr>
    </w:p>
    <w:p w:rsidR="00F1306B" w:rsidRPr="00D54CAD" w:rsidRDefault="00F1306B" w:rsidP="00E74E4C">
      <w:pPr>
        <w:spacing w:after="0" w:line="260" w:lineRule="atLeast"/>
        <w:rPr>
          <w:rFonts w:ascii="Open Sans" w:hAnsi="Open Sans" w:cs="Open Sans"/>
          <w:sz w:val="20"/>
          <w:szCs w:val="20"/>
        </w:rPr>
      </w:pPr>
      <w:r w:rsidRPr="00D54CAD">
        <w:rPr>
          <w:rFonts w:ascii="Open Sans" w:hAnsi="Open Sans" w:cs="Open Sans"/>
          <w:sz w:val="20"/>
          <w:szCs w:val="20"/>
        </w:rPr>
        <w:t xml:space="preserve">De betrokken </w:t>
      </w:r>
      <w:r w:rsidR="001C3CD7" w:rsidRPr="00D54CAD">
        <w:rPr>
          <w:rFonts w:ascii="Open Sans" w:hAnsi="Open Sans" w:cs="Open Sans"/>
          <w:sz w:val="20"/>
          <w:szCs w:val="20"/>
        </w:rPr>
        <w:t xml:space="preserve">overheden en </w:t>
      </w:r>
      <w:r w:rsidRPr="00D54CAD">
        <w:rPr>
          <w:rFonts w:ascii="Open Sans" w:hAnsi="Open Sans" w:cs="Open Sans"/>
          <w:sz w:val="20"/>
          <w:szCs w:val="20"/>
        </w:rPr>
        <w:t xml:space="preserve">partijen zijn eind 2018 tot een gezamenlijk akkoord gekomen. Het resultaat hiervan staat in de brief van 14 januari 2019 van de </w:t>
      </w:r>
      <w:r w:rsidR="00E74E4C" w:rsidRPr="00D54CAD">
        <w:rPr>
          <w:rFonts w:ascii="Open Sans" w:hAnsi="Open Sans" w:cs="Open Sans"/>
          <w:sz w:val="20"/>
          <w:szCs w:val="20"/>
        </w:rPr>
        <w:t>s</w:t>
      </w:r>
      <w:r w:rsidRPr="00D54CAD">
        <w:rPr>
          <w:rFonts w:ascii="Open Sans" w:hAnsi="Open Sans" w:cs="Open Sans"/>
          <w:sz w:val="20"/>
          <w:szCs w:val="20"/>
        </w:rPr>
        <w:t xml:space="preserve">taatssecretaris van het </w:t>
      </w:r>
      <w:r w:rsidR="00E74E4C" w:rsidRPr="00D54CAD">
        <w:rPr>
          <w:rFonts w:ascii="Open Sans" w:hAnsi="Open Sans" w:cs="Open Sans"/>
          <w:sz w:val="20"/>
          <w:szCs w:val="20"/>
        </w:rPr>
        <w:t xml:space="preserve">ministerie van </w:t>
      </w:r>
      <w:r w:rsidRPr="00D54CAD">
        <w:rPr>
          <w:rFonts w:ascii="Open Sans" w:hAnsi="Open Sans" w:cs="Open Sans"/>
          <w:sz w:val="20"/>
          <w:szCs w:val="20"/>
        </w:rPr>
        <w:t>Infrastructuur en Waterstaat aan de Tweede Kamer.</w:t>
      </w:r>
      <w:r w:rsidR="001C3CD7" w:rsidRPr="00D54CAD">
        <w:rPr>
          <w:rFonts w:ascii="Open Sans" w:hAnsi="Open Sans" w:cs="Open Sans"/>
          <w:sz w:val="20"/>
          <w:szCs w:val="20"/>
        </w:rPr>
        <w:t xml:space="preserve"> De volgende afspraken zijn gemaakt:</w:t>
      </w:r>
    </w:p>
    <w:p w:rsidR="00E74E4C" w:rsidRPr="00D54CAD" w:rsidRDefault="00E74E4C" w:rsidP="00E74E4C">
      <w:pPr>
        <w:pStyle w:val="Lijstalinea"/>
        <w:numPr>
          <w:ilvl w:val="0"/>
          <w:numId w:val="2"/>
        </w:numPr>
        <w:contextualSpacing w:val="0"/>
        <w:rPr>
          <w:rFonts w:ascii="Open Sans" w:hAnsi="Open Sans" w:cs="Open Sans"/>
        </w:rPr>
      </w:pPr>
      <w:r w:rsidRPr="00D54CAD">
        <w:rPr>
          <w:rFonts w:ascii="Open Sans" w:hAnsi="Open Sans" w:cs="Open Sans"/>
        </w:rPr>
        <w:t>Spuitdoppen die driftarm zijn bij een spuitdruk tot 2 bar worden niet meer in de lijst met ‘</w:t>
      </w:r>
      <w:proofErr w:type="spellStart"/>
      <w:r w:rsidRPr="00D54CAD">
        <w:rPr>
          <w:rFonts w:ascii="Open Sans" w:hAnsi="Open Sans" w:cs="Open Sans"/>
        </w:rPr>
        <w:t>driftreducerende</w:t>
      </w:r>
      <w:proofErr w:type="spellEnd"/>
      <w:r w:rsidRPr="00D54CAD">
        <w:rPr>
          <w:rFonts w:ascii="Open Sans" w:hAnsi="Open Sans" w:cs="Open Sans"/>
        </w:rPr>
        <w:t xml:space="preserve"> doppen’ vermeld, omdat het niet aannemelijk is dat deze in de landbouw-praktijk bij de juiste spuitdruk gebruikt worden.</w:t>
      </w:r>
    </w:p>
    <w:p w:rsidR="00E74E4C" w:rsidRPr="00D54CAD" w:rsidRDefault="00E74E4C" w:rsidP="00E74E4C">
      <w:pPr>
        <w:pStyle w:val="Lijstalinea"/>
        <w:numPr>
          <w:ilvl w:val="0"/>
          <w:numId w:val="2"/>
        </w:numPr>
        <w:contextualSpacing w:val="0"/>
        <w:rPr>
          <w:rFonts w:ascii="Open Sans" w:hAnsi="Open Sans" w:cs="Open Sans"/>
        </w:rPr>
      </w:pPr>
      <w:r w:rsidRPr="00D54CAD">
        <w:rPr>
          <w:rFonts w:ascii="Open Sans" w:hAnsi="Open Sans" w:cs="Open Sans"/>
        </w:rPr>
        <w:t xml:space="preserve">Voor spuitdoppen die driftarm zijn bij een spuitdruk van 2 tot 3 bar en voor luchtvloeistof-mengdoppen is </w:t>
      </w:r>
      <w:r w:rsidRPr="00D54CAD">
        <w:rPr>
          <w:rFonts w:ascii="Open Sans" w:hAnsi="Open Sans" w:cs="Open Sans"/>
          <w:u w:val="single"/>
        </w:rPr>
        <w:t>een drukregistratievoorziening vereist</w:t>
      </w:r>
      <w:r w:rsidRPr="00D54CAD">
        <w:rPr>
          <w:rFonts w:ascii="Open Sans" w:hAnsi="Open Sans" w:cs="Open Sans"/>
        </w:rPr>
        <w:t>.</w:t>
      </w:r>
    </w:p>
    <w:p w:rsidR="00E74E4C" w:rsidRPr="00D54CAD" w:rsidRDefault="00E74E4C" w:rsidP="00E74E4C">
      <w:pPr>
        <w:pStyle w:val="Lijstalinea"/>
        <w:numPr>
          <w:ilvl w:val="0"/>
          <w:numId w:val="2"/>
        </w:numPr>
        <w:contextualSpacing w:val="0"/>
        <w:rPr>
          <w:rFonts w:ascii="Open Sans" w:hAnsi="Open Sans" w:cs="Open Sans"/>
        </w:rPr>
      </w:pPr>
      <w:r w:rsidRPr="00D54CAD">
        <w:rPr>
          <w:rFonts w:ascii="Open Sans" w:hAnsi="Open Sans" w:cs="Open Sans"/>
        </w:rPr>
        <w:t xml:space="preserve">Voor spuitdoppen die driftarm zijn bij een spuitdruk vanaf 3 bar en voor spuitapparatuur met aanvullende </w:t>
      </w:r>
      <w:proofErr w:type="spellStart"/>
      <w:r w:rsidRPr="00D54CAD">
        <w:rPr>
          <w:rFonts w:ascii="Open Sans" w:hAnsi="Open Sans" w:cs="Open Sans"/>
        </w:rPr>
        <w:t>driftreducerende</w:t>
      </w:r>
      <w:proofErr w:type="spellEnd"/>
      <w:r w:rsidRPr="00D54CAD">
        <w:rPr>
          <w:rFonts w:ascii="Open Sans" w:hAnsi="Open Sans" w:cs="Open Sans"/>
        </w:rPr>
        <w:t xml:space="preserve"> voorziening is </w:t>
      </w:r>
      <w:r w:rsidRPr="00D54CAD">
        <w:rPr>
          <w:rFonts w:ascii="Open Sans" w:hAnsi="Open Sans" w:cs="Open Sans"/>
          <w:b/>
          <w:u w:val="single"/>
        </w:rPr>
        <w:t>geen</w:t>
      </w:r>
      <w:r w:rsidRPr="00D54CAD">
        <w:rPr>
          <w:rFonts w:ascii="Open Sans" w:hAnsi="Open Sans" w:cs="Open Sans"/>
          <w:u w:val="single"/>
        </w:rPr>
        <w:t xml:space="preserve"> drukregistratievoorziening vereist</w:t>
      </w:r>
      <w:r w:rsidRPr="00D54CAD">
        <w:rPr>
          <w:rFonts w:ascii="Open Sans" w:hAnsi="Open Sans" w:cs="Open Sans"/>
        </w:rPr>
        <w:t>, omdat deze dan niet of minder doelmatig is.</w:t>
      </w:r>
    </w:p>
    <w:p w:rsidR="00E74E4C" w:rsidRPr="00D54CAD" w:rsidRDefault="00E74E4C" w:rsidP="00E74E4C">
      <w:pPr>
        <w:pStyle w:val="Lijstalinea"/>
        <w:numPr>
          <w:ilvl w:val="0"/>
          <w:numId w:val="2"/>
        </w:numPr>
        <w:contextualSpacing w:val="0"/>
        <w:rPr>
          <w:rFonts w:ascii="Open Sans" w:hAnsi="Open Sans" w:cs="Open Sans"/>
        </w:rPr>
      </w:pPr>
      <w:r w:rsidRPr="00D54CAD">
        <w:rPr>
          <w:rFonts w:ascii="Open Sans" w:hAnsi="Open Sans" w:cs="Open Sans"/>
        </w:rPr>
        <w:t>Als alternatief voor de drukregistratievoorziening kan bij gebruik van spuitdoppen die driftarm zijn bij een spuitdruk van 2 tot 3 bar en voor luchtvloeistof</w:t>
      </w:r>
      <w:r w:rsidR="00501274" w:rsidRPr="00D54CAD">
        <w:rPr>
          <w:rFonts w:ascii="Open Sans" w:hAnsi="Open Sans" w:cs="Open Sans"/>
        </w:rPr>
        <w:t>-</w:t>
      </w:r>
      <w:r w:rsidRPr="00D54CAD">
        <w:rPr>
          <w:rFonts w:ascii="Open Sans" w:hAnsi="Open Sans" w:cs="Open Sans"/>
        </w:rPr>
        <w:t xml:space="preserve">mengdoppen een verdubbeling van de in het Activiteitenbesluit vereiste teeltvrije zone worden toegepast. Voor droge sloten (van 1 april tot 1 oktober niet watervoerend) betekent dit dat als de ondernemer kiest voor </w:t>
      </w:r>
      <w:r w:rsidR="0043104C" w:rsidRPr="00D54CAD">
        <w:rPr>
          <w:rFonts w:ascii="Open Sans" w:hAnsi="Open Sans" w:cs="Open Sans"/>
        </w:rPr>
        <w:t xml:space="preserve">dit </w:t>
      </w:r>
      <w:r w:rsidRPr="00D54CAD">
        <w:rPr>
          <w:rFonts w:ascii="Open Sans" w:hAnsi="Open Sans" w:cs="Open Sans"/>
        </w:rPr>
        <w:t xml:space="preserve">alternatief de gangbare teeltvrije zone uit het Activiteitenbesluit moet aangehouden. </w:t>
      </w:r>
    </w:p>
    <w:p w:rsidR="00E74E4C" w:rsidRPr="00D54CAD" w:rsidRDefault="00E74E4C" w:rsidP="00E74E4C">
      <w:pPr>
        <w:pStyle w:val="Lijstalinea"/>
        <w:numPr>
          <w:ilvl w:val="0"/>
          <w:numId w:val="2"/>
        </w:numPr>
        <w:contextualSpacing w:val="0"/>
        <w:rPr>
          <w:rFonts w:ascii="Open Sans" w:hAnsi="Open Sans" w:cs="Open Sans"/>
          <w:b/>
        </w:rPr>
      </w:pPr>
      <w:r w:rsidRPr="00D54CAD">
        <w:rPr>
          <w:rFonts w:ascii="Open Sans" w:hAnsi="Open Sans" w:cs="Open Sans"/>
        </w:rPr>
        <w:t>Omdat ondernemers tijd nodig hebben om afhankelijk van hun specifieke omstandigheden een keuze te maken en deze uit te voeren, is 2019 een overgangsjaar.</w:t>
      </w:r>
    </w:p>
    <w:p w:rsidR="00E74E4C" w:rsidRPr="00D54CAD" w:rsidRDefault="00E74E4C" w:rsidP="00E74E4C">
      <w:pPr>
        <w:spacing w:after="0" w:line="260" w:lineRule="atLeast"/>
        <w:rPr>
          <w:rFonts w:ascii="Open Sans" w:hAnsi="Open Sans" w:cs="Open Sans"/>
          <w:b/>
          <w:sz w:val="20"/>
          <w:szCs w:val="20"/>
        </w:rPr>
      </w:pPr>
    </w:p>
    <w:p w:rsidR="00E80ABF" w:rsidRDefault="00E80ABF" w:rsidP="00E74E4C">
      <w:pPr>
        <w:spacing w:after="0" w:line="260" w:lineRule="atLeast"/>
        <w:rPr>
          <w:rFonts w:ascii="Open Sans" w:hAnsi="Open Sans" w:cs="Open Sans"/>
          <w:b/>
          <w:sz w:val="20"/>
          <w:szCs w:val="20"/>
        </w:rPr>
      </w:pPr>
    </w:p>
    <w:p w:rsidR="00E80ABF" w:rsidRDefault="00E80ABF" w:rsidP="00E74E4C">
      <w:pPr>
        <w:spacing w:after="0" w:line="260" w:lineRule="atLeast"/>
        <w:rPr>
          <w:rFonts w:ascii="Open Sans" w:hAnsi="Open Sans" w:cs="Open Sans"/>
          <w:b/>
          <w:sz w:val="20"/>
          <w:szCs w:val="20"/>
        </w:rPr>
      </w:pPr>
    </w:p>
    <w:p w:rsidR="00F1306B" w:rsidRPr="00D54CAD" w:rsidRDefault="00F1306B" w:rsidP="00E74E4C">
      <w:pPr>
        <w:spacing w:after="0" w:line="260" w:lineRule="atLeast"/>
        <w:rPr>
          <w:rFonts w:ascii="Open Sans" w:hAnsi="Open Sans" w:cs="Open Sans"/>
          <w:b/>
          <w:sz w:val="20"/>
          <w:szCs w:val="20"/>
        </w:rPr>
      </w:pPr>
      <w:bookmarkStart w:id="0" w:name="_GoBack"/>
      <w:bookmarkEnd w:id="0"/>
      <w:r w:rsidRPr="00D54CAD">
        <w:rPr>
          <w:rFonts w:ascii="Open Sans" w:hAnsi="Open Sans" w:cs="Open Sans"/>
          <w:b/>
          <w:sz w:val="20"/>
          <w:szCs w:val="20"/>
        </w:rPr>
        <w:lastRenderedPageBreak/>
        <w:t>Toezicht- en handhavingsprotocol</w:t>
      </w:r>
    </w:p>
    <w:p w:rsidR="008C3D9D" w:rsidRPr="00D54CAD" w:rsidRDefault="00F1306B" w:rsidP="00E74E4C">
      <w:pPr>
        <w:spacing w:after="0" w:line="260" w:lineRule="atLeast"/>
        <w:rPr>
          <w:rFonts w:ascii="Open Sans" w:hAnsi="Open Sans" w:cs="Open Sans"/>
          <w:sz w:val="20"/>
          <w:szCs w:val="20"/>
        </w:rPr>
      </w:pPr>
      <w:r w:rsidRPr="00D54CAD">
        <w:rPr>
          <w:rFonts w:ascii="Open Sans" w:hAnsi="Open Sans" w:cs="Open Sans"/>
          <w:sz w:val="20"/>
          <w:szCs w:val="20"/>
        </w:rPr>
        <w:t xml:space="preserve">Door betrokken </w:t>
      </w:r>
      <w:r w:rsidR="008C3D9D" w:rsidRPr="00D54CAD">
        <w:rPr>
          <w:rFonts w:ascii="Open Sans" w:hAnsi="Open Sans" w:cs="Open Sans"/>
          <w:sz w:val="20"/>
          <w:szCs w:val="20"/>
        </w:rPr>
        <w:t xml:space="preserve">overheden en </w:t>
      </w:r>
      <w:r w:rsidRPr="00D54CAD">
        <w:rPr>
          <w:rFonts w:ascii="Open Sans" w:hAnsi="Open Sans" w:cs="Open Sans"/>
          <w:sz w:val="20"/>
          <w:szCs w:val="20"/>
        </w:rPr>
        <w:t xml:space="preserve">partijen is ook afgesproken dat </w:t>
      </w:r>
      <w:r w:rsidR="0014282B" w:rsidRPr="00D54CAD">
        <w:rPr>
          <w:rFonts w:ascii="Open Sans" w:hAnsi="Open Sans" w:cs="Open Sans"/>
          <w:sz w:val="20"/>
          <w:szCs w:val="20"/>
        </w:rPr>
        <w:t>door het bevoegd gezag een toezicht- en handhavingsprotocol wordt opgesteld waarmee de toezichthouders van de waterschappen en de NVWA zo uniform mogelijk toezicht kunnen houden</w:t>
      </w:r>
      <w:r w:rsidR="008C3D9D" w:rsidRPr="00D54CAD">
        <w:rPr>
          <w:rFonts w:ascii="Open Sans" w:hAnsi="Open Sans" w:cs="Open Sans"/>
          <w:sz w:val="20"/>
          <w:szCs w:val="20"/>
        </w:rPr>
        <w:t xml:space="preserve"> en kunnen optreden bij een overtreding</w:t>
      </w:r>
      <w:r w:rsidR="00377703" w:rsidRPr="00D54CAD">
        <w:rPr>
          <w:rFonts w:ascii="Open Sans" w:hAnsi="Open Sans" w:cs="Open Sans"/>
          <w:sz w:val="20"/>
          <w:szCs w:val="20"/>
        </w:rPr>
        <w:t>.</w:t>
      </w:r>
      <w:r w:rsidR="009540D3" w:rsidRPr="00D54CAD">
        <w:rPr>
          <w:rFonts w:ascii="Open Sans" w:hAnsi="Open Sans" w:cs="Open Sans"/>
          <w:sz w:val="20"/>
          <w:szCs w:val="20"/>
        </w:rPr>
        <w:t xml:space="preserve"> </w:t>
      </w:r>
    </w:p>
    <w:p w:rsidR="008C3D9D" w:rsidRPr="00D54CAD" w:rsidRDefault="008C3D9D" w:rsidP="00E74E4C">
      <w:pPr>
        <w:spacing w:after="0" w:line="260" w:lineRule="atLeast"/>
        <w:rPr>
          <w:rFonts w:ascii="Open Sans" w:hAnsi="Open Sans" w:cs="Open Sans"/>
          <w:sz w:val="20"/>
          <w:szCs w:val="20"/>
        </w:rPr>
      </w:pPr>
    </w:p>
    <w:p w:rsidR="00E74E4C" w:rsidRPr="00D54CAD" w:rsidRDefault="008C3D9D" w:rsidP="00E74E4C">
      <w:pPr>
        <w:spacing w:after="0" w:line="260" w:lineRule="atLeast"/>
        <w:rPr>
          <w:rFonts w:ascii="Open Sans" w:hAnsi="Open Sans" w:cs="Open Sans"/>
          <w:sz w:val="20"/>
          <w:szCs w:val="20"/>
        </w:rPr>
      </w:pPr>
      <w:r w:rsidRPr="00D54CAD">
        <w:rPr>
          <w:rFonts w:ascii="Open Sans" w:hAnsi="Open Sans" w:cs="Open Sans"/>
          <w:sz w:val="20"/>
          <w:szCs w:val="20"/>
        </w:rPr>
        <w:t xml:space="preserve">Het protocol </w:t>
      </w:r>
      <w:r w:rsidR="007E344D" w:rsidRPr="00D54CAD">
        <w:rPr>
          <w:rFonts w:ascii="Open Sans" w:hAnsi="Open Sans" w:cs="Open Sans"/>
          <w:sz w:val="20"/>
          <w:szCs w:val="20"/>
        </w:rPr>
        <w:t xml:space="preserve">is opgesteld door een werkgroep bestaande uit </w:t>
      </w:r>
      <w:r w:rsidR="00E74E4C" w:rsidRPr="00D54CAD">
        <w:rPr>
          <w:rFonts w:ascii="Open Sans" w:hAnsi="Open Sans" w:cs="Open Sans"/>
          <w:sz w:val="20"/>
          <w:szCs w:val="20"/>
        </w:rPr>
        <w:t>waterschappen, de Unie van Waterschappen, de Nederlandse Voedsel- en Warenautoriteit (NVWA), het ministerie van Landbouw, Natuur en Voedselkwaliteit en het ministerie van Infrastructuur en Waterstaat.</w:t>
      </w:r>
    </w:p>
    <w:p w:rsidR="0014282B" w:rsidRPr="00D54CAD" w:rsidRDefault="0014282B" w:rsidP="00E74E4C">
      <w:pPr>
        <w:spacing w:after="0" w:line="260" w:lineRule="atLeast"/>
        <w:rPr>
          <w:rFonts w:ascii="Open Sans" w:hAnsi="Open Sans" w:cs="Open Sans"/>
          <w:sz w:val="20"/>
          <w:szCs w:val="20"/>
        </w:rPr>
      </w:pPr>
    </w:p>
    <w:p w:rsidR="007A19DB" w:rsidRPr="00D54CAD" w:rsidRDefault="00F1306B" w:rsidP="00E74E4C">
      <w:pPr>
        <w:spacing w:after="0" w:line="260" w:lineRule="atLeast"/>
        <w:rPr>
          <w:rFonts w:ascii="Open Sans" w:hAnsi="Open Sans" w:cs="Open Sans"/>
          <w:sz w:val="20"/>
          <w:szCs w:val="20"/>
        </w:rPr>
      </w:pPr>
      <w:r w:rsidRPr="00D54CAD">
        <w:rPr>
          <w:rFonts w:ascii="Open Sans" w:hAnsi="Open Sans" w:cs="Open Sans"/>
          <w:sz w:val="20"/>
          <w:szCs w:val="20"/>
        </w:rPr>
        <w:t xml:space="preserve">Het protocol beschrijft op welke wijze de waterschappen en de </w:t>
      </w:r>
      <w:proofErr w:type="gramStart"/>
      <w:r w:rsidRPr="00D54CAD">
        <w:rPr>
          <w:rFonts w:ascii="Open Sans" w:hAnsi="Open Sans" w:cs="Open Sans"/>
          <w:sz w:val="20"/>
          <w:szCs w:val="20"/>
        </w:rPr>
        <w:t>NVWA controles</w:t>
      </w:r>
      <w:proofErr w:type="gramEnd"/>
      <w:r w:rsidRPr="00D54CAD">
        <w:rPr>
          <w:rFonts w:ascii="Open Sans" w:hAnsi="Open Sans" w:cs="Open Sans"/>
          <w:sz w:val="20"/>
          <w:szCs w:val="20"/>
        </w:rPr>
        <w:t xml:space="preserve"> gaan uitvoeren en hoe deze instanties toezicht gaan houden en </w:t>
      </w:r>
      <w:r w:rsidR="00377703" w:rsidRPr="00D54CAD">
        <w:rPr>
          <w:rFonts w:ascii="Open Sans" w:hAnsi="Open Sans" w:cs="Open Sans"/>
          <w:sz w:val="20"/>
          <w:szCs w:val="20"/>
        </w:rPr>
        <w:t xml:space="preserve">gaan handhaven op de naleving van de drukregistratievoorziening en de gemaakte afspraken. Ook zullen de toezichthouders en handhavers gaan controleren of met de </w:t>
      </w:r>
      <w:r w:rsidR="00085A95" w:rsidRPr="00D54CAD">
        <w:rPr>
          <w:rFonts w:ascii="Open Sans" w:hAnsi="Open Sans" w:cs="Open Sans"/>
          <w:sz w:val="20"/>
          <w:szCs w:val="20"/>
        </w:rPr>
        <w:t xml:space="preserve">juiste spuitdruk wordt gespoten of dat </w:t>
      </w:r>
      <w:r w:rsidR="00F071F6" w:rsidRPr="00D54CAD">
        <w:rPr>
          <w:rFonts w:ascii="Open Sans" w:hAnsi="Open Sans" w:cs="Open Sans"/>
          <w:sz w:val="20"/>
          <w:szCs w:val="20"/>
        </w:rPr>
        <w:t xml:space="preserve">er voor </w:t>
      </w:r>
      <w:r w:rsidR="00085A95" w:rsidRPr="00D54CAD">
        <w:rPr>
          <w:rFonts w:ascii="Open Sans" w:hAnsi="Open Sans" w:cs="Open Sans"/>
          <w:sz w:val="20"/>
          <w:szCs w:val="20"/>
        </w:rPr>
        <w:t xml:space="preserve">een alternatief </w:t>
      </w:r>
      <w:r w:rsidR="00F071F6" w:rsidRPr="00D54CAD">
        <w:rPr>
          <w:rFonts w:ascii="Open Sans" w:hAnsi="Open Sans" w:cs="Open Sans"/>
          <w:sz w:val="20"/>
          <w:szCs w:val="20"/>
        </w:rPr>
        <w:t xml:space="preserve">is </w:t>
      </w:r>
      <w:r w:rsidR="00085A95" w:rsidRPr="00D54CAD">
        <w:rPr>
          <w:rFonts w:ascii="Open Sans" w:hAnsi="Open Sans" w:cs="Open Sans"/>
          <w:sz w:val="20"/>
          <w:szCs w:val="20"/>
        </w:rPr>
        <w:t>gekozen.</w:t>
      </w:r>
    </w:p>
    <w:p w:rsidR="007A19DB" w:rsidRPr="00D54CAD" w:rsidRDefault="007A19DB" w:rsidP="00E74E4C">
      <w:pPr>
        <w:spacing w:after="0" w:line="260" w:lineRule="atLeast"/>
        <w:rPr>
          <w:rFonts w:ascii="Open Sans" w:hAnsi="Open Sans" w:cs="Open Sans"/>
          <w:sz w:val="20"/>
          <w:szCs w:val="20"/>
        </w:rPr>
      </w:pPr>
    </w:p>
    <w:p w:rsidR="00501274" w:rsidRPr="00D54CAD" w:rsidRDefault="00501274" w:rsidP="00E74E4C">
      <w:pPr>
        <w:spacing w:after="0" w:line="260" w:lineRule="atLeast"/>
        <w:rPr>
          <w:rFonts w:ascii="Open Sans" w:hAnsi="Open Sans" w:cs="Open Sans"/>
          <w:b/>
          <w:sz w:val="20"/>
          <w:szCs w:val="20"/>
        </w:rPr>
      </w:pPr>
      <w:r w:rsidRPr="00D54CAD">
        <w:rPr>
          <w:rFonts w:ascii="Open Sans" w:hAnsi="Open Sans" w:cs="Open Sans"/>
          <w:b/>
          <w:sz w:val="20"/>
          <w:szCs w:val="20"/>
        </w:rPr>
        <w:t>2019 is overgangsjaar</w:t>
      </w:r>
    </w:p>
    <w:p w:rsidR="00377703" w:rsidRPr="00D54CAD" w:rsidRDefault="00377703" w:rsidP="00E74E4C">
      <w:pPr>
        <w:spacing w:after="0" w:line="260" w:lineRule="atLeast"/>
        <w:rPr>
          <w:rFonts w:ascii="Open Sans" w:hAnsi="Open Sans" w:cs="Open Sans"/>
          <w:sz w:val="20"/>
          <w:szCs w:val="20"/>
        </w:rPr>
      </w:pPr>
      <w:r w:rsidRPr="00D54CAD">
        <w:rPr>
          <w:rFonts w:ascii="Open Sans" w:hAnsi="Open Sans" w:cs="Open Sans"/>
          <w:sz w:val="20"/>
          <w:szCs w:val="20"/>
        </w:rPr>
        <w:t xml:space="preserve">Het jaar 2019 is een overgangsjaar. Dit betekent dat </w:t>
      </w:r>
      <w:r w:rsidR="00AC2D57" w:rsidRPr="00D54CAD">
        <w:rPr>
          <w:rFonts w:ascii="Open Sans" w:hAnsi="Open Sans" w:cs="Open Sans"/>
          <w:sz w:val="20"/>
          <w:szCs w:val="20"/>
        </w:rPr>
        <w:t xml:space="preserve">in </w:t>
      </w:r>
      <w:r w:rsidR="00E74E4C" w:rsidRPr="00D54CAD">
        <w:rPr>
          <w:rFonts w:ascii="Open Sans" w:hAnsi="Open Sans" w:cs="Open Sans"/>
          <w:sz w:val="20"/>
          <w:szCs w:val="20"/>
        </w:rPr>
        <w:t xml:space="preserve">2019 de inzet </w:t>
      </w:r>
      <w:r w:rsidR="00AC2D57" w:rsidRPr="00D54CAD">
        <w:rPr>
          <w:rFonts w:ascii="Open Sans" w:hAnsi="Open Sans" w:cs="Open Sans"/>
          <w:sz w:val="20"/>
          <w:szCs w:val="20"/>
        </w:rPr>
        <w:t xml:space="preserve">is </w:t>
      </w:r>
      <w:r w:rsidR="00E74E4C" w:rsidRPr="00D54CAD">
        <w:rPr>
          <w:rFonts w:ascii="Open Sans" w:hAnsi="Open Sans" w:cs="Open Sans"/>
          <w:sz w:val="20"/>
          <w:szCs w:val="20"/>
        </w:rPr>
        <w:t xml:space="preserve">gericht </w:t>
      </w:r>
      <w:r w:rsidR="00F1306B" w:rsidRPr="00D54CAD">
        <w:rPr>
          <w:rFonts w:ascii="Open Sans" w:hAnsi="Open Sans" w:cs="Open Sans"/>
          <w:sz w:val="20"/>
          <w:szCs w:val="20"/>
        </w:rPr>
        <w:t xml:space="preserve">op communicatie en voorlichting. </w:t>
      </w:r>
      <w:r w:rsidR="00D23797" w:rsidRPr="00D54CAD">
        <w:rPr>
          <w:rFonts w:ascii="Open Sans" w:hAnsi="Open Sans" w:cs="Open Sans"/>
          <w:sz w:val="20"/>
          <w:szCs w:val="20"/>
        </w:rPr>
        <w:t>Ondernemers</w:t>
      </w:r>
      <w:r w:rsidRPr="00D54CAD">
        <w:rPr>
          <w:rFonts w:ascii="Open Sans" w:hAnsi="Open Sans" w:cs="Open Sans"/>
          <w:sz w:val="20"/>
          <w:szCs w:val="20"/>
        </w:rPr>
        <w:t xml:space="preserve"> </w:t>
      </w:r>
      <w:r w:rsidR="00E74E4C" w:rsidRPr="00D54CAD">
        <w:rPr>
          <w:rFonts w:ascii="Open Sans" w:hAnsi="Open Sans" w:cs="Open Sans"/>
          <w:sz w:val="20"/>
          <w:szCs w:val="20"/>
        </w:rPr>
        <w:t xml:space="preserve">worden </w:t>
      </w:r>
      <w:r w:rsidRPr="00D54CAD">
        <w:rPr>
          <w:rFonts w:ascii="Open Sans" w:hAnsi="Open Sans" w:cs="Open Sans"/>
          <w:sz w:val="20"/>
          <w:szCs w:val="20"/>
        </w:rPr>
        <w:t xml:space="preserve">door de toezichthouders </w:t>
      </w:r>
      <w:r w:rsidR="00E74E4C" w:rsidRPr="00D54CAD">
        <w:rPr>
          <w:rFonts w:ascii="Open Sans" w:hAnsi="Open Sans" w:cs="Open Sans"/>
          <w:sz w:val="20"/>
          <w:szCs w:val="20"/>
        </w:rPr>
        <w:t xml:space="preserve">van de waterschappen en de NVWA </w:t>
      </w:r>
      <w:r w:rsidRPr="00D54CAD">
        <w:rPr>
          <w:rFonts w:ascii="Open Sans" w:hAnsi="Open Sans" w:cs="Open Sans"/>
          <w:sz w:val="20"/>
          <w:szCs w:val="20"/>
        </w:rPr>
        <w:t xml:space="preserve">gewezen op de nieuwe voorwaarden </w:t>
      </w:r>
      <w:r w:rsidR="00D23797" w:rsidRPr="00D54CAD">
        <w:rPr>
          <w:rFonts w:ascii="Open Sans" w:hAnsi="Open Sans" w:cs="Open Sans"/>
          <w:sz w:val="20"/>
          <w:szCs w:val="20"/>
        </w:rPr>
        <w:t xml:space="preserve">omtrent de drukregistratievoorziening met de keuzemogelijkheden en </w:t>
      </w:r>
      <w:r w:rsidRPr="00D54CAD">
        <w:rPr>
          <w:rFonts w:ascii="Open Sans" w:hAnsi="Open Sans" w:cs="Open Sans"/>
          <w:sz w:val="20"/>
          <w:szCs w:val="20"/>
        </w:rPr>
        <w:t xml:space="preserve">dat ze tot </w:t>
      </w:r>
      <w:r w:rsidR="00AC2D57" w:rsidRPr="00D54CAD">
        <w:rPr>
          <w:rFonts w:ascii="Open Sans" w:hAnsi="Open Sans" w:cs="Open Sans"/>
          <w:sz w:val="20"/>
          <w:szCs w:val="20"/>
        </w:rPr>
        <w:t xml:space="preserve">1 januari </w:t>
      </w:r>
      <w:r w:rsidRPr="00D54CAD">
        <w:rPr>
          <w:rFonts w:ascii="Open Sans" w:hAnsi="Open Sans" w:cs="Open Sans"/>
          <w:sz w:val="20"/>
          <w:szCs w:val="20"/>
        </w:rPr>
        <w:t>2020 de tijd hebben om dat op orde te brengen.</w:t>
      </w:r>
    </w:p>
    <w:p w:rsidR="00377703" w:rsidRPr="00D54CAD" w:rsidRDefault="00377703" w:rsidP="00E74E4C">
      <w:pPr>
        <w:spacing w:after="0" w:line="260" w:lineRule="atLeast"/>
        <w:rPr>
          <w:rFonts w:ascii="Open Sans" w:hAnsi="Open Sans" w:cs="Open Sans"/>
          <w:sz w:val="20"/>
          <w:szCs w:val="20"/>
        </w:rPr>
      </w:pPr>
    </w:p>
    <w:p w:rsidR="00D23797" w:rsidRPr="00D54CAD" w:rsidRDefault="00D23797" w:rsidP="00E74E4C">
      <w:pPr>
        <w:spacing w:after="0" w:line="260" w:lineRule="atLeast"/>
        <w:rPr>
          <w:rFonts w:ascii="Open Sans" w:hAnsi="Open Sans" w:cs="Open Sans"/>
          <w:b/>
          <w:sz w:val="20"/>
          <w:szCs w:val="20"/>
        </w:rPr>
      </w:pPr>
      <w:r w:rsidRPr="00D54CAD">
        <w:rPr>
          <w:rFonts w:ascii="Open Sans" w:hAnsi="Open Sans" w:cs="Open Sans"/>
          <w:b/>
          <w:sz w:val="20"/>
          <w:szCs w:val="20"/>
        </w:rPr>
        <w:t>Aantoonbaar investeren</w:t>
      </w:r>
    </w:p>
    <w:p w:rsidR="007D1D2D" w:rsidRPr="00D54CAD" w:rsidRDefault="009540D3" w:rsidP="007D1D2D">
      <w:pPr>
        <w:spacing w:after="0" w:line="260" w:lineRule="atLeast"/>
        <w:rPr>
          <w:rFonts w:ascii="Open Sans" w:hAnsi="Open Sans" w:cs="Open Sans"/>
          <w:sz w:val="20"/>
          <w:szCs w:val="20"/>
        </w:rPr>
      </w:pPr>
      <w:r w:rsidRPr="00D54CAD">
        <w:rPr>
          <w:rFonts w:ascii="Open Sans" w:hAnsi="Open Sans" w:cs="Open Sans"/>
          <w:sz w:val="20"/>
          <w:szCs w:val="20"/>
        </w:rPr>
        <w:t>Het protocol voorziet ook in situaties waarin een ondernemer in 2019 heeft geïnvesteerd in de aanschaf van een nieuwe landbouwspuit, aanvullende techniek</w:t>
      </w:r>
      <w:r w:rsidR="00693EE1" w:rsidRPr="00D54CAD">
        <w:rPr>
          <w:rFonts w:ascii="Open Sans" w:hAnsi="Open Sans" w:cs="Open Sans"/>
          <w:sz w:val="20"/>
          <w:szCs w:val="20"/>
        </w:rPr>
        <w:t>, spuitdoppen</w:t>
      </w:r>
      <w:r w:rsidRPr="00D54CAD">
        <w:rPr>
          <w:rFonts w:ascii="Open Sans" w:hAnsi="Open Sans" w:cs="Open Sans"/>
          <w:sz w:val="20"/>
          <w:szCs w:val="20"/>
        </w:rPr>
        <w:t xml:space="preserve"> of drukregistratievoorziening maar dat de levering niet in 2019 kan plaatsvinden. </w:t>
      </w:r>
      <w:r w:rsidR="007D1D2D" w:rsidRPr="00D54CAD">
        <w:rPr>
          <w:rFonts w:ascii="Open Sans" w:hAnsi="Open Sans" w:cs="Open Sans"/>
          <w:sz w:val="20"/>
          <w:szCs w:val="20"/>
        </w:rPr>
        <w:t>De ondernemer krijgt uitstel om dit in 2020 op orde brengen. Dit staat ook vermeld in de brief aan de Tweede Kamer. De datum waarop de investering gereed moet zijn, wordt in overleg met de toezichthouder bepaald en vastgelegd in een waarschuwingsbrief. Voorwaarde is dat de ondernemer de investering moet aantonen met bijvoorbeeld een order- of opdrachtbevestiging.</w:t>
      </w:r>
    </w:p>
    <w:p w:rsidR="007D1D2D" w:rsidRPr="00D54CAD" w:rsidRDefault="007D1D2D" w:rsidP="00693EE1">
      <w:pPr>
        <w:spacing w:after="0" w:line="260" w:lineRule="atLeast"/>
        <w:rPr>
          <w:rFonts w:ascii="Open Sans" w:hAnsi="Open Sans" w:cs="Open Sans"/>
          <w:sz w:val="20"/>
          <w:szCs w:val="20"/>
        </w:rPr>
      </w:pPr>
    </w:p>
    <w:p w:rsidR="00501274" w:rsidRPr="00D54CAD" w:rsidRDefault="00501274" w:rsidP="00693EE1">
      <w:pPr>
        <w:spacing w:after="0" w:line="260" w:lineRule="atLeast"/>
        <w:rPr>
          <w:rFonts w:ascii="Open Sans" w:hAnsi="Open Sans" w:cs="Open Sans"/>
          <w:b/>
          <w:sz w:val="20"/>
          <w:szCs w:val="20"/>
        </w:rPr>
      </w:pPr>
      <w:r w:rsidRPr="00D54CAD">
        <w:rPr>
          <w:rFonts w:ascii="Open Sans" w:hAnsi="Open Sans" w:cs="Open Sans"/>
          <w:b/>
          <w:sz w:val="20"/>
          <w:szCs w:val="20"/>
        </w:rPr>
        <w:t>Vanaf 1 januari 2020</w:t>
      </w:r>
    </w:p>
    <w:p w:rsidR="00693EE1" w:rsidRPr="00D54CAD" w:rsidRDefault="00693EE1" w:rsidP="00693EE1">
      <w:pPr>
        <w:spacing w:after="0" w:line="260" w:lineRule="atLeast"/>
        <w:rPr>
          <w:rFonts w:ascii="Open Sans" w:hAnsi="Open Sans" w:cs="Open Sans"/>
          <w:sz w:val="20"/>
          <w:szCs w:val="20"/>
        </w:rPr>
      </w:pPr>
      <w:r w:rsidRPr="00D54CAD">
        <w:rPr>
          <w:rFonts w:ascii="Open Sans" w:hAnsi="Open Sans" w:cs="Open Sans"/>
          <w:sz w:val="20"/>
          <w:szCs w:val="20"/>
        </w:rPr>
        <w:t xml:space="preserve">Na het overgangsjaar 2019 wordt er niet meer waarschuwend opgetreden. </w:t>
      </w:r>
      <w:r w:rsidR="007D1D2D" w:rsidRPr="00D54CAD">
        <w:rPr>
          <w:rFonts w:ascii="Open Sans" w:hAnsi="Open Sans" w:cs="Open Sans"/>
          <w:sz w:val="20"/>
          <w:szCs w:val="20"/>
        </w:rPr>
        <w:t xml:space="preserve">Vanaf 1 januari </w:t>
      </w:r>
      <w:r w:rsidRPr="00D54CAD">
        <w:rPr>
          <w:rFonts w:ascii="Open Sans" w:hAnsi="Open Sans" w:cs="Open Sans"/>
          <w:sz w:val="20"/>
          <w:szCs w:val="20"/>
        </w:rPr>
        <w:t>2020 z</w:t>
      </w:r>
      <w:r w:rsidR="007D1D2D" w:rsidRPr="00D54CAD">
        <w:rPr>
          <w:rFonts w:ascii="Open Sans" w:hAnsi="Open Sans" w:cs="Open Sans"/>
          <w:sz w:val="20"/>
          <w:szCs w:val="20"/>
        </w:rPr>
        <w:t xml:space="preserve">ullen de waterschappen en de NVWA bij de </w:t>
      </w:r>
      <w:r w:rsidRPr="00D54CAD">
        <w:rPr>
          <w:rFonts w:ascii="Open Sans" w:hAnsi="Open Sans" w:cs="Open Sans"/>
          <w:sz w:val="20"/>
          <w:szCs w:val="20"/>
        </w:rPr>
        <w:t>constatering van een overtreding van de voors</w:t>
      </w:r>
      <w:r w:rsidR="00D23797" w:rsidRPr="00D54CAD">
        <w:rPr>
          <w:rFonts w:ascii="Open Sans" w:hAnsi="Open Sans" w:cs="Open Sans"/>
          <w:sz w:val="20"/>
          <w:szCs w:val="20"/>
        </w:rPr>
        <w:t>chriften handhavend opgetreden.</w:t>
      </w:r>
    </w:p>
    <w:p w:rsidR="00693EE1" w:rsidRPr="00D54CAD" w:rsidRDefault="00693EE1" w:rsidP="00693EE1">
      <w:pPr>
        <w:spacing w:after="0" w:line="260" w:lineRule="atLeast"/>
        <w:rPr>
          <w:rFonts w:ascii="Open Sans" w:hAnsi="Open Sans" w:cs="Open Sans"/>
          <w:sz w:val="20"/>
          <w:szCs w:val="20"/>
        </w:rPr>
      </w:pPr>
    </w:p>
    <w:sectPr w:rsidR="00693EE1" w:rsidRPr="00D54C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Cadastra Cn"/>
    <w:charset w:val="00"/>
    <w:family w:val="swiss"/>
    <w:pitch w:val="variable"/>
    <w:sig w:usb0="00000001"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6985"/>
    <w:multiLevelType w:val="hybridMultilevel"/>
    <w:tmpl w:val="D8A841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D6A28A5"/>
    <w:multiLevelType w:val="hybridMultilevel"/>
    <w:tmpl w:val="E13445A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E92778"/>
    <w:multiLevelType w:val="multilevel"/>
    <w:tmpl w:val="3F00433C"/>
    <w:lvl w:ilvl="0">
      <w:start w:val="1"/>
      <w:numFmt w:val="decimal"/>
      <w:lvlText w:val="%1"/>
      <w:lvlJc w:val="left"/>
      <w:pPr>
        <w:tabs>
          <w:tab w:val="num" w:pos="0"/>
        </w:tabs>
        <w:ind w:left="0" w:hanging="879"/>
      </w:pPr>
      <w:rPr>
        <w:rFonts w:ascii="Arial" w:hAnsi="Arial" w:hint="default"/>
        <w:b/>
        <w:i w:val="0"/>
        <w:spacing w:val="0"/>
        <w:sz w:val="28"/>
        <w:szCs w:val="28"/>
      </w:rPr>
    </w:lvl>
    <w:lvl w:ilvl="1">
      <w:start w:val="1"/>
      <w:numFmt w:val="decimal"/>
      <w:lvlText w:val="%1.%2"/>
      <w:lvlJc w:val="left"/>
      <w:pPr>
        <w:tabs>
          <w:tab w:val="num" w:pos="0"/>
        </w:tabs>
        <w:ind w:left="0" w:hanging="879"/>
      </w:pPr>
      <w:rPr>
        <w:rFonts w:ascii="Arial" w:hAnsi="Arial" w:hint="default"/>
        <w:b/>
        <w:i w:val="0"/>
        <w:spacing w:val="0"/>
        <w:sz w:val="24"/>
        <w:szCs w:val="24"/>
      </w:rPr>
    </w:lvl>
    <w:lvl w:ilvl="2">
      <w:start w:val="1"/>
      <w:numFmt w:val="decimal"/>
      <w:lvlText w:val="%1.%2.%3"/>
      <w:lvlJc w:val="left"/>
      <w:pPr>
        <w:tabs>
          <w:tab w:val="num" w:pos="0"/>
        </w:tabs>
        <w:ind w:left="0" w:hanging="879"/>
      </w:pPr>
      <w:rPr>
        <w:rFonts w:ascii="Arial" w:hAnsi="Arial" w:hint="default"/>
        <w:b/>
        <w:i w:val="0"/>
        <w:spacing w:val="0"/>
        <w:sz w:val="20"/>
        <w:szCs w:val="20"/>
      </w:rPr>
    </w:lvl>
    <w:lvl w:ilvl="3">
      <w:start w:val="1"/>
      <w:numFmt w:val="decimal"/>
      <w:lvlText w:val="%1.%2.%3.%4"/>
      <w:lvlJc w:val="left"/>
      <w:pPr>
        <w:tabs>
          <w:tab w:val="num" w:pos="1686"/>
        </w:tabs>
        <w:ind w:left="1686" w:hanging="864"/>
      </w:pPr>
      <w:rPr>
        <w:rFonts w:hint="default"/>
      </w:rPr>
    </w:lvl>
    <w:lvl w:ilvl="4">
      <w:start w:val="1"/>
      <w:numFmt w:val="decimal"/>
      <w:lvlText w:val="%1.%2.%3.%4.%5"/>
      <w:lvlJc w:val="left"/>
      <w:pPr>
        <w:tabs>
          <w:tab w:val="num" w:pos="1830"/>
        </w:tabs>
        <w:ind w:left="1830" w:hanging="1008"/>
      </w:pPr>
      <w:rPr>
        <w:rFonts w:hint="default"/>
      </w:rPr>
    </w:lvl>
    <w:lvl w:ilvl="5">
      <w:start w:val="1"/>
      <w:numFmt w:val="decimal"/>
      <w:lvlText w:val="%1.%2.%3.%4.%5.%6"/>
      <w:lvlJc w:val="left"/>
      <w:pPr>
        <w:tabs>
          <w:tab w:val="num" w:pos="1974"/>
        </w:tabs>
        <w:ind w:left="1974" w:hanging="1152"/>
      </w:pPr>
      <w:rPr>
        <w:rFonts w:hint="default"/>
      </w:rPr>
    </w:lvl>
    <w:lvl w:ilvl="6">
      <w:start w:val="1"/>
      <w:numFmt w:val="decimal"/>
      <w:lvlText w:val="%1.%2.%3.%4.%5.%6.%7"/>
      <w:lvlJc w:val="left"/>
      <w:pPr>
        <w:tabs>
          <w:tab w:val="num" w:pos="2118"/>
        </w:tabs>
        <w:ind w:left="2118" w:hanging="1296"/>
      </w:pPr>
      <w:rPr>
        <w:rFonts w:hint="default"/>
      </w:rPr>
    </w:lvl>
    <w:lvl w:ilvl="7">
      <w:start w:val="1"/>
      <w:numFmt w:val="decimal"/>
      <w:lvlText w:val="%1.%2.%3.%4.%5.%6.%7.%8"/>
      <w:lvlJc w:val="left"/>
      <w:pPr>
        <w:tabs>
          <w:tab w:val="num" w:pos="2262"/>
        </w:tabs>
        <w:ind w:left="2262" w:hanging="1440"/>
      </w:pPr>
      <w:rPr>
        <w:rFonts w:hint="default"/>
      </w:rPr>
    </w:lvl>
    <w:lvl w:ilvl="8">
      <w:start w:val="1"/>
      <w:numFmt w:val="decimal"/>
      <w:lvlText w:val="%1.%2.%3.%4.%5.%6.%7.%8.%9"/>
      <w:lvlJc w:val="left"/>
      <w:pPr>
        <w:tabs>
          <w:tab w:val="num" w:pos="2406"/>
        </w:tabs>
        <w:ind w:left="2406" w:hanging="1584"/>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CC"/>
    <w:rsid w:val="00006847"/>
    <w:rsid w:val="00085A95"/>
    <w:rsid w:val="00123441"/>
    <w:rsid w:val="0014282B"/>
    <w:rsid w:val="001C3CD7"/>
    <w:rsid w:val="001D1D7E"/>
    <w:rsid w:val="00342140"/>
    <w:rsid w:val="00357689"/>
    <w:rsid w:val="00377703"/>
    <w:rsid w:val="003A16B5"/>
    <w:rsid w:val="003E4EDF"/>
    <w:rsid w:val="0043104C"/>
    <w:rsid w:val="00501274"/>
    <w:rsid w:val="005D28CC"/>
    <w:rsid w:val="00693EE1"/>
    <w:rsid w:val="007A19DB"/>
    <w:rsid w:val="007D1D2D"/>
    <w:rsid w:val="007E344D"/>
    <w:rsid w:val="008C3D9D"/>
    <w:rsid w:val="009540D3"/>
    <w:rsid w:val="00A464A6"/>
    <w:rsid w:val="00AC2D57"/>
    <w:rsid w:val="00BB2C06"/>
    <w:rsid w:val="00BC5076"/>
    <w:rsid w:val="00C8747F"/>
    <w:rsid w:val="00D23797"/>
    <w:rsid w:val="00D54CAD"/>
    <w:rsid w:val="00E74E4C"/>
    <w:rsid w:val="00E80ABF"/>
    <w:rsid w:val="00F071F6"/>
    <w:rsid w:val="00F1306B"/>
    <w:rsid w:val="00F37606"/>
    <w:rsid w:val="00FB55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C681"/>
  <w15:chartTrackingRefBased/>
  <w15:docId w15:val="{29963AC3-D1DA-4F99-87AC-E3952B34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1306B"/>
    <w:pPr>
      <w:spacing w:after="0" w:line="260" w:lineRule="atLeast"/>
      <w:ind w:left="720"/>
      <w:contextualSpacing/>
    </w:pPr>
    <w:rPr>
      <w:rFonts w:eastAsia="Times New Roman" w:cs="Times New Roman"/>
      <w:sz w:val="20"/>
      <w:szCs w:val="20"/>
    </w:rPr>
  </w:style>
  <w:style w:type="paragraph" w:customStyle="1" w:styleId="Default">
    <w:name w:val="Default"/>
    <w:rsid w:val="0012344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123441"/>
    <w:rPr>
      <w:color w:val="0563C1" w:themeColor="hyperlink"/>
      <w:u w:val="single"/>
    </w:rPr>
  </w:style>
  <w:style w:type="paragraph" w:styleId="Koptekst">
    <w:name w:val="header"/>
    <w:basedOn w:val="Standaard"/>
    <w:link w:val="KoptekstChar"/>
    <w:rsid w:val="00E74E4C"/>
    <w:pPr>
      <w:tabs>
        <w:tab w:val="center" w:pos="4703"/>
        <w:tab w:val="right" w:pos="9406"/>
      </w:tabs>
      <w:spacing w:after="0" w:line="260" w:lineRule="atLeast"/>
    </w:pPr>
    <w:rPr>
      <w:rFonts w:eastAsia="Times New Roman" w:cs="Times New Roman"/>
      <w:sz w:val="20"/>
      <w:szCs w:val="20"/>
    </w:rPr>
  </w:style>
  <w:style w:type="character" w:customStyle="1" w:styleId="KoptekstChar">
    <w:name w:val="Koptekst Char"/>
    <w:basedOn w:val="Standaardalinea-lettertype"/>
    <w:link w:val="Koptekst"/>
    <w:rsid w:val="00E74E4C"/>
    <w:rPr>
      <w:rFonts w:eastAsia="Times New Roman" w:cs="Times New Roman"/>
      <w:sz w:val="20"/>
      <w:szCs w:val="20"/>
    </w:rPr>
  </w:style>
  <w:style w:type="paragraph" w:styleId="Tekstopmerking">
    <w:name w:val="annotation text"/>
    <w:basedOn w:val="Standaard"/>
    <w:link w:val="TekstopmerkingChar"/>
    <w:uiPriority w:val="99"/>
    <w:unhideWhenUsed/>
    <w:rsid w:val="00D54CAD"/>
    <w:pPr>
      <w:spacing w:line="240" w:lineRule="auto"/>
    </w:pPr>
    <w:rPr>
      <w:sz w:val="20"/>
      <w:szCs w:val="20"/>
    </w:rPr>
  </w:style>
  <w:style w:type="character" w:customStyle="1" w:styleId="TekstopmerkingChar">
    <w:name w:val="Tekst opmerking Char"/>
    <w:basedOn w:val="Standaardalinea-lettertype"/>
    <w:link w:val="Tekstopmerking"/>
    <w:uiPriority w:val="99"/>
    <w:rsid w:val="00D54CA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48957">
      <w:bodyDiv w:val="1"/>
      <w:marLeft w:val="0"/>
      <w:marRight w:val="0"/>
      <w:marTop w:val="0"/>
      <w:marBottom w:val="0"/>
      <w:divBdr>
        <w:top w:val="none" w:sz="0" w:space="0" w:color="auto"/>
        <w:left w:val="none" w:sz="0" w:space="0" w:color="auto"/>
        <w:bottom w:val="none" w:sz="0" w:space="0" w:color="auto"/>
        <w:right w:val="none" w:sz="0" w:space="0" w:color="auto"/>
      </w:divBdr>
    </w:div>
    <w:div w:id="653722318">
      <w:bodyDiv w:val="1"/>
      <w:marLeft w:val="0"/>
      <w:marRight w:val="0"/>
      <w:marTop w:val="0"/>
      <w:marBottom w:val="0"/>
      <w:divBdr>
        <w:top w:val="none" w:sz="0" w:space="0" w:color="auto"/>
        <w:left w:val="none" w:sz="0" w:space="0" w:color="auto"/>
        <w:bottom w:val="none" w:sz="0" w:space="0" w:color="auto"/>
        <w:right w:val="none" w:sz="0" w:space="0" w:color="auto"/>
      </w:divBdr>
    </w:div>
    <w:div w:id="16258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pdeskwater.nl/onderwerpen/emissiebeheer/agrarisch/open-teelt/driftreducer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5496FBB4.dotm</Template>
  <TotalTime>0</TotalTime>
  <Pages>2</Pages>
  <Words>862</Words>
  <Characters>4743</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Mul</dc:creator>
  <cp:keywords/>
  <dc:description/>
  <cp:lastModifiedBy>Wolfert, Marcel</cp:lastModifiedBy>
  <cp:revision>2</cp:revision>
  <dcterms:created xsi:type="dcterms:W3CDTF">2019-10-11T13:33:00Z</dcterms:created>
  <dcterms:modified xsi:type="dcterms:W3CDTF">2019-10-11T13:33:00Z</dcterms:modified>
</cp:coreProperties>
</file>